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四川省社会组织网</w:t>
      </w:r>
      <w:r>
        <w:rPr>
          <w:rFonts w:hint="eastAsia" w:ascii="仿宋_GB2312" w:hAnsi="仿宋" w:eastAsia="仿宋_GB2312" w:cs="仿宋"/>
          <w:b/>
          <w:sz w:val="32"/>
          <w:szCs w:val="32"/>
        </w:rPr>
        <w:t>运维项目评分办法及评分标准</w:t>
      </w:r>
    </w:p>
    <w:p>
      <w:pPr>
        <w:rPr>
          <w:rFonts w:hint="eastAsia"/>
        </w:rPr>
      </w:pPr>
    </w:p>
    <w:tbl>
      <w:tblPr>
        <w:tblStyle w:val="6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654"/>
        <w:gridCol w:w="7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评审因素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分值</w:t>
            </w:r>
          </w:p>
        </w:tc>
        <w:tc>
          <w:tcPr>
            <w:tcW w:w="7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9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价格分（10）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投标报价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价格分采用低价优先法计算，即满足招标文件要求且投标价格最低的投标报价为评标基准价，其他投标人的价格分按照下列公式计算：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价格分=（评标基准价/投标报价）×10%×100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49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商务分（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业绩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07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【客观分】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投标人自2020年1月1日以来（以合同签订时间为准）同类信息化系统维护服务合同业绩（以提供的合同扫描件为准）：每提供1份合同业绩得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分，最高得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认证证书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07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【客观分】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投标人具有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信息技术相关专业专业技术职称的运维技术服务人员，每提供初级职称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1人，得1分；每提供中级及以上专业技术职称的，得2分，最高不超过4分。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9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技术分（8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响应程度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07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【客观分】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完全符合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招标文件</w:t>
            </w:r>
            <w:r>
              <w:rPr>
                <w:rFonts w:hint="eastAsia" w:ascii="仿宋" w:hAnsi="仿宋" w:eastAsia="仿宋" w:cs="仿宋"/>
                <w:sz w:val="24"/>
              </w:rPr>
              <w:t>要求的得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0分，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每缺少一项</w:t>
            </w:r>
            <w:r>
              <w:rPr>
                <w:rFonts w:hint="eastAsia" w:ascii="仿宋" w:hAnsi="仿宋" w:eastAsia="仿宋" w:cs="仿宋"/>
                <w:sz w:val="24"/>
              </w:rPr>
              <w:t>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对项目整体理解重难点分析及对应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【主观分】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整体的运维方案的优劣，服务响应的及时性情况，应急事件处理方案，是否对各类事件均有详细的应对办法，根据应对方案的合理性，完善性等打分。整体运维方案完全符合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招标公告</w:t>
            </w:r>
            <w:r>
              <w:rPr>
                <w:rFonts w:hint="eastAsia" w:ascii="仿宋" w:hAnsi="仿宋" w:eastAsia="仿宋" w:cs="仿宋"/>
                <w:sz w:val="24"/>
              </w:rPr>
              <w:t>要求，服务响应及时，应对方案合理性，完善性强得8-10.运维方案略有欠缺，服务响应不够及时，应对方案合理性，完善性一般得4-7分，运维方案内容不全，服务响应不及时，应对方案合理性，完善性差得0-3分。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服务成果交付内容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【主观分】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整体运维服务计划的可行性、专业性、及服务成果交付的有效性。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定期报告网站运维情况</w:t>
            </w:r>
            <w:r>
              <w:rPr>
                <w:rFonts w:hint="eastAsia" w:ascii="仿宋" w:hAnsi="仿宋" w:eastAsia="仿宋" w:cs="仿宋"/>
                <w:sz w:val="24"/>
              </w:rPr>
              <w:t>（包括但不限于：网络拓扑图、渗透测试报告、漏洞扫描报告、基线检查报告、应急响应报告、安全巡检报告、重保值守服务报告、网站监控服务）每项专业性强、可行性好的得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8-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分，专业性、可行性一般的得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4"/>
              </w:rPr>
              <w:t>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质量控制方案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【主观分】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运维服务质量保证计划措施，有明确的质量保证目标，质量保证措施和体系合理先进及详细的实施内容等。措施方案详细完整、体系合理先进的得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分，方案完整一般、体系较合理先进的得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4-7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分，方案一般、体系一般的得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0-3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保障措施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客观</w:t>
            </w:r>
            <w:r>
              <w:rPr>
                <w:rFonts w:hint="eastAsia" w:ascii="仿宋" w:hAnsi="仿宋" w:eastAsia="仿宋" w:cs="仿宋"/>
                <w:sz w:val="24"/>
              </w:rPr>
              <w:t>分】</w:t>
            </w:r>
          </w:p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运维</w:t>
            </w:r>
            <w:r>
              <w:rPr>
                <w:rFonts w:hint="eastAsia" w:ascii="仿宋" w:hAnsi="仿宋" w:eastAsia="仿宋" w:cs="仿宋"/>
                <w:sz w:val="24"/>
              </w:rPr>
              <w:t>服务响应迅速，紧急响应措施完善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。以承诺每月现场运维天数最高的投标人为基准天数，计算公式如下：</w:t>
            </w:r>
          </w:p>
          <w:p>
            <w:r>
              <w:rPr>
                <w:rFonts w:hint="eastAsia" w:ascii="仿宋" w:hAnsi="仿宋" w:eastAsia="仿宋" w:cs="仿宋"/>
                <w:sz w:val="24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承诺现场运维天数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/基准天数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售后服务承诺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客观</w:t>
            </w:r>
            <w:r>
              <w:rPr>
                <w:rFonts w:hint="eastAsia" w:ascii="仿宋" w:hAnsi="仿宋" w:eastAsia="仿宋" w:cs="仿宋"/>
                <w:sz w:val="24"/>
              </w:rPr>
              <w:t>分】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运维</w:t>
            </w:r>
            <w:r>
              <w:rPr>
                <w:rFonts w:hint="eastAsia" w:ascii="仿宋" w:hAnsi="仿宋" w:eastAsia="仿宋" w:cs="仿宋"/>
                <w:sz w:val="24"/>
              </w:rPr>
              <w:t>服务优惠承诺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，指投标人承诺招标公告及运维合同以外的服务事项。</w:t>
            </w:r>
            <w:r>
              <w:rPr>
                <w:rFonts w:hint="eastAsia" w:ascii="仿宋" w:hAnsi="仿宋" w:eastAsia="仿宋" w:cs="仿宋"/>
                <w:sz w:val="24"/>
              </w:rPr>
              <w:t>投标人提供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运维</w:t>
            </w:r>
            <w:r>
              <w:rPr>
                <w:rFonts w:hint="eastAsia" w:ascii="仿宋" w:hAnsi="仿宋" w:eastAsia="仿宋" w:cs="仿宋"/>
                <w:sz w:val="24"/>
              </w:rPr>
              <w:t>服务优惠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次数</w:t>
            </w:r>
            <w:r>
              <w:rPr>
                <w:rFonts w:hint="eastAsia" w:ascii="仿宋" w:hAnsi="仿宋" w:eastAsia="仿宋" w:cs="仿宋"/>
                <w:sz w:val="24"/>
              </w:rPr>
              <w:t>承诺，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以优惠承诺次数最多的为基准次数，计算公式为：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优惠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次数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/基准次数</w:t>
            </w: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100%</w:t>
            </w: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8E"/>
    <w:rsid w:val="001E731E"/>
    <w:rsid w:val="002747BE"/>
    <w:rsid w:val="00A3758E"/>
    <w:rsid w:val="00B043D5"/>
    <w:rsid w:val="00D44EA2"/>
    <w:rsid w:val="10375C39"/>
    <w:rsid w:val="16D10824"/>
    <w:rsid w:val="31D0612A"/>
    <w:rsid w:val="35D7743F"/>
    <w:rsid w:val="58F16B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1794</Characters>
  <Lines>14</Lines>
  <Paragraphs>4</Paragraphs>
  <ScaleCrop>false</ScaleCrop>
  <LinksUpToDate>false</LinksUpToDate>
  <CharactersWithSpaces>2104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2023-06-11T07:12:00Z</dcterms:created>
  <dc:creator>小米</dc:creator>
  <cp:lastModifiedBy>文黎明</cp:lastModifiedBy>
  <cp:lastPrinted>2024-06-19T08:36:00Z</cp:lastPrinted>
  <dcterms:modified xsi:type="dcterms:W3CDTF">2024-06-19T08:56:34Z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